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2D55A1" w14:textId="1FD1BC8A" w:rsidR="00AA4F41" w:rsidRPr="00AA4F41" w:rsidRDefault="00AA4F41" w:rsidP="00AA4F41">
      <w:pPr>
        <w:jc w:val="center"/>
        <w:rPr>
          <w:rFonts w:cs="B Zar"/>
          <w:b/>
          <w:bCs/>
        </w:rPr>
      </w:pPr>
      <w:bookmarkStart w:id="0" w:name="_GoBack"/>
      <w:bookmarkEnd w:id="0"/>
      <w:r w:rsidRPr="00AA4F41">
        <w:rPr>
          <w:rFonts w:cs="B Zar"/>
          <w:b/>
          <w:bCs/>
          <w:rtl/>
        </w:rPr>
        <w:t>گزارش نشست علمی</w:t>
      </w:r>
      <w:r w:rsidR="009A71BC">
        <w:rPr>
          <w:rFonts w:cs="B Zar" w:hint="cs"/>
          <w:b/>
          <w:bCs/>
          <w:rtl/>
        </w:rPr>
        <w:t xml:space="preserve"> سه شنبه 14 مهر 1405</w:t>
      </w:r>
    </w:p>
    <w:p w14:paraId="223AE3B9" w14:textId="5B5E28B2" w:rsidR="00AA4F41" w:rsidRPr="00AA4F41" w:rsidRDefault="00AA4F41" w:rsidP="00AA4F41">
      <w:pPr>
        <w:rPr>
          <w:rFonts w:cs="B Zar"/>
          <w:b/>
          <w:bCs/>
        </w:rPr>
      </w:pPr>
      <w:r w:rsidRPr="00AA4F41">
        <w:rPr>
          <w:rFonts w:cs="B Zar" w:hint="cs"/>
          <w:b/>
          <w:bCs/>
          <w:rtl/>
        </w:rPr>
        <w:t xml:space="preserve">عنوان نشست: </w:t>
      </w:r>
      <w:r w:rsidRPr="00AA4F41">
        <w:rPr>
          <w:rFonts w:cs="B Zar"/>
          <w:b/>
          <w:bCs/>
          <w:rtl/>
        </w:rPr>
        <w:t xml:space="preserve">کاوشی در مصداق‌شناسی اذیت در آیه </w:t>
      </w:r>
      <w:r w:rsidRPr="00AA4F41">
        <w:rPr>
          <w:rFonts w:cs="B Zar"/>
          <w:b/>
          <w:bCs/>
          <w:rtl/>
          <w:lang w:bidi="fa-IR"/>
        </w:rPr>
        <w:t>۶۹</w:t>
      </w:r>
      <w:r w:rsidRPr="00AA4F41">
        <w:rPr>
          <w:rFonts w:cs="B Zar"/>
          <w:b/>
          <w:bCs/>
          <w:rtl/>
        </w:rPr>
        <w:t xml:space="preserve"> سوره احزاب</w:t>
      </w:r>
    </w:p>
    <w:p w14:paraId="483EE8C7" w14:textId="5BECE107" w:rsidR="00AA4F41" w:rsidRPr="00AA4F41" w:rsidRDefault="00AA4F41" w:rsidP="00AA4F41">
      <w:pPr>
        <w:rPr>
          <w:rFonts w:cs="B Zar"/>
        </w:rPr>
      </w:pPr>
      <w:r w:rsidRPr="00AA4F41">
        <w:rPr>
          <w:rFonts w:cs="B Zar"/>
          <w:rtl/>
        </w:rPr>
        <w:t xml:space="preserve">جلسه با قرائت کلام‌الله مجید آغاز شد. سپس دبیر نشست به تشکیل گروه‌های کانون پرداخت و پس از پایان گروه‌بندی‌ها، ضمن معرفی موضوع جلسه بیان کرد: نشست امروز با عنوان </w:t>
      </w:r>
      <w:r>
        <w:rPr>
          <w:rFonts w:cs="B Zar" w:hint="cs"/>
          <w:rtl/>
        </w:rPr>
        <w:t>«</w:t>
      </w:r>
      <w:r w:rsidRPr="00AA4F41">
        <w:rPr>
          <w:rFonts w:cs="B Zar"/>
          <w:rtl/>
        </w:rPr>
        <w:t xml:space="preserve">کاوشی در مصداق‌شناسی اذیت در آیه </w:t>
      </w:r>
      <w:r w:rsidRPr="00AA4F41">
        <w:rPr>
          <w:rFonts w:cs="B Zar"/>
          <w:rtl/>
          <w:lang w:bidi="fa-IR"/>
        </w:rPr>
        <w:t>۶۹</w:t>
      </w:r>
      <w:r w:rsidRPr="00AA4F41">
        <w:rPr>
          <w:rFonts w:cs="B Zar"/>
          <w:rtl/>
        </w:rPr>
        <w:t xml:space="preserve"> سوره احزاب</w:t>
      </w:r>
      <w:r>
        <w:rPr>
          <w:rFonts w:cs="B Zar" w:hint="cs"/>
          <w:rtl/>
        </w:rPr>
        <w:t xml:space="preserve"> » </w:t>
      </w:r>
      <w:r w:rsidRPr="00AA4F41">
        <w:rPr>
          <w:rFonts w:cs="B Zar"/>
          <w:rtl/>
        </w:rPr>
        <w:t xml:space="preserve">برگزار می‌شود و نگاهی نو به بررسی این آیه دارد. </w:t>
      </w:r>
      <w:r>
        <w:rPr>
          <w:rFonts w:cs="B Zar" w:hint="cs"/>
          <w:rtl/>
        </w:rPr>
        <w:t xml:space="preserve">در ارائه دهنده حجت الاسلام ستار بیرانوند دانش پژوه سطح 4 رشته تفسیر و ناقد حجت الاسلام محمد مظفری دانش پژوه سطح 4 همین رشته هستند. </w:t>
      </w:r>
      <w:r w:rsidRPr="00AA4F41">
        <w:rPr>
          <w:rFonts w:cs="B Zar"/>
          <w:rtl/>
        </w:rPr>
        <w:t xml:space="preserve">ارائه‌دهنده درصدد است با بررسی دیدگاه‌های تفسیری و شواهد قرآنی و روایی، مصداق </w:t>
      </w:r>
      <w:r>
        <w:rPr>
          <w:rFonts w:cs="B Zar"/>
          <w:rtl/>
        </w:rPr>
        <w:t>“</w:t>
      </w:r>
      <w:r w:rsidRPr="00AA4F41">
        <w:rPr>
          <w:rFonts w:cs="B Zar"/>
          <w:rtl/>
        </w:rPr>
        <w:t>اذیت</w:t>
      </w:r>
      <w:r>
        <w:rPr>
          <w:rFonts w:cs="B Zar"/>
          <w:rtl/>
        </w:rPr>
        <w:t>”</w:t>
      </w:r>
      <w:r w:rsidRPr="00AA4F41">
        <w:rPr>
          <w:rFonts w:cs="B Zar"/>
          <w:rtl/>
        </w:rPr>
        <w:t>در این آیه را شناسایی و دیدگاه خود را در این زمینه تبیین و اثبات کند</w:t>
      </w:r>
      <w:r>
        <w:rPr>
          <w:rFonts w:cs="B Zar" w:hint="cs"/>
          <w:rtl/>
        </w:rPr>
        <w:t xml:space="preserve"> که البته نگاهی نو است و تاکنون کسی قائل به آن نشده </w:t>
      </w:r>
      <w:r w:rsidRPr="00AA4F41">
        <w:rPr>
          <w:rFonts w:cs="B Zar"/>
        </w:rPr>
        <w:t>.</w:t>
      </w:r>
    </w:p>
    <w:p w14:paraId="1292A4D8" w14:textId="6FF7D653" w:rsidR="00AA4F41" w:rsidRPr="00AA4F41" w:rsidRDefault="00AA4F41" w:rsidP="00AA4F41">
      <w:pPr>
        <w:rPr>
          <w:rFonts w:cs="B Zar"/>
        </w:rPr>
      </w:pPr>
      <w:r w:rsidRPr="00AA4F41">
        <w:rPr>
          <w:rFonts w:cs="B Zar"/>
          <w:rtl/>
        </w:rPr>
        <w:t>در ادامه، آقای بیرانوند ، به ارائه بحث پرداخت. وی با قرائت آیه شریفه</w:t>
      </w:r>
      <w:r w:rsidRPr="00AA4F41">
        <w:rPr>
          <w:rFonts w:cs="B Zar"/>
        </w:rPr>
        <w:t>:</w:t>
      </w:r>
    </w:p>
    <w:p w14:paraId="1ECAB3CF" w14:textId="35CDE3FC" w:rsidR="00AA4F41" w:rsidRPr="00AA4F41" w:rsidRDefault="00AA4F41" w:rsidP="00AA4F41">
      <w:pPr>
        <w:rPr>
          <w:rFonts w:ascii="Calibri" w:hAnsi="Calibri" w:cs="Calibri"/>
        </w:rPr>
      </w:pPr>
      <w:r w:rsidRPr="00AA4F41">
        <w:rPr>
          <w:rFonts w:ascii="Calibri" w:hAnsi="Calibri" w:cs="Calibri"/>
          <w:rtl/>
        </w:rPr>
        <w:t>“</w:t>
      </w:r>
      <w:r w:rsidRPr="00AA4F41">
        <w:rPr>
          <w:rFonts w:ascii="Calibri" w:hAnsi="Calibri"/>
          <w:rtl/>
        </w:rPr>
        <w:t>یَا أَیُّهَا الَّذِینَ آمَنُوا لَا تَکُونُوا کَالَّذِینَ آذَوْا مُوسَىٰ فَبَرَّأَهُ اللَّهُ مِمَّا قَالُوا وَکَانَ عِندَ اللَّهِ وَجِیهًا</w:t>
      </w:r>
      <w:r w:rsidRPr="00AA4F41">
        <w:rPr>
          <w:rFonts w:ascii="Calibri" w:hAnsi="Calibri" w:cs="Calibri"/>
        </w:rPr>
        <w:t>»</w:t>
      </w:r>
      <w:r w:rsidRPr="00AA4F41">
        <w:rPr>
          <w:rFonts w:ascii="Calibri" w:hAnsi="Calibri" w:cs="Calibri"/>
        </w:rPr>
        <w:br/>
      </w:r>
      <w:r w:rsidRPr="00AA4F41">
        <w:rPr>
          <w:rFonts w:ascii="Calibri" w:hAnsi="Calibri"/>
          <w:rtl/>
        </w:rPr>
        <w:t>احزاب</w:t>
      </w:r>
      <w:r w:rsidRPr="00AA4F41">
        <w:rPr>
          <w:rFonts w:ascii="Calibri" w:hAnsi="Calibri" w:cs="Calibri"/>
          <w:rtl/>
        </w:rPr>
        <w:t>/</w:t>
      </w:r>
      <w:r w:rsidRPr="00AA4F41">
        <w:rPr>
          <w:rFonts w:ascii="Calibri" w:hAnsi="Calibri"/>
          <w:rtl/>
          <w:lang w:bidi="fa-IR"/>
        </w:rPr>
        <w:t>۶۹</w:t>
      </w:r>
    </w:p>
    <w:p w14:paraId="6160CEA9" w14:textId="7376758C" w:rsidR="00AA4F41" w:rsidRPr="00AA4F41" w:rsidRDefault="00AA4F41" w:rsidP="00AA4F41">
      <w:pPr>
        <w:rPr>
          <w:rFonts w:cs="B Zar"/>
        </w:rPr>
      </w:pPr>
      <w:r w:rsidRPr="00AA4F41">
        <w:rPr>
          <w:rFonts w:cs="B Zar"/>
          <w:rtl/>
        </w:rPr>
        <w:t xml:space="preserve">به اختلاف دیدگاه مفسران درباره مراد از </w:t>
      </w:r>
      <w:r>
        <w:rPr>
          <w:rFonts w:cs="B Zar"/>
          <w:rtl/>
        </w:rPr>
        <w:t>“</w:t>
      </w:r>
      <w:r w:rsidRPr="00AA4F41">
        <w:rPr>
          <w:rFonts w:cs="B Zar"/>
          <w:rtl/>
        </w:rPr>
        <w:t>اذیت</w:t>
      </w:r>
      <w:r>
        <w:rPr>
          <w:rFonts w:cs="B Zar"/>
          <w:rtl/>
        </w:rPr>
        <w:t>”</w:t>
      </w:r>
      <w:r w:rsidRPr="00AA4F41">
        <w:rPr>
          <w:rFonts w:cs="B Zar"/>
          <w:rtl/>
        </w:rPr>
        <w:t>در این آیه اشاره کرد و چهار محور اصلی را مورد توجه قرار داد</w:t>
      </w:r>
      <w:r w:rsidRPr="00AA4F41">
        <w:rPr>
          <w:rFonts w:cs="B Zar"/>
        </w:rPr>
        <w:t>:</w:t>
      </w:r>
    </w:p>
    <w:p w14:paraId="59E507A7" w14:textId="77777777" w:rsidR="00AA4F41" w:rsidRPr="00AA4F41" w:rsidRDefault="00AA4F41" w:rsidP="00AA4F41">
      <w:pPr>
        <w:numPr>
          <w:ilvl w:val="0"/>
          <w:numId w:val="1"/>
        </w:numPr>
        <w:rPr>
          <w:rFonts w:cs="B Zar"/>
        </w:rPr>
      </w:pPr>
      <w:r w:rsidRPr="00AA4F41">
        <w:rPr>
          <w:rFonts w:cs="B Zar"/>
          <w:rtl/>
        </w:rPr>
        <w:t>شناسایی مصداق اذیت حضرت موسی(ع)؛</w:t>
      </w:r>
    </w:p>
    <w:p w14:paraId="42637ED7" w14:textId="77777777" w:rsidR="00AA4F41" w:rsidRPr="00AA4F41" w:rsidRDefault="00AA4F41" w:rsidP="00AA4F41">
      <w:pPr>
        <w:numPr>
          <w:ilvl w:val="0"/>
          <w:numId w:val="1"/>
        </w:numPr>
        <w:rPr>
          <w:rFonts w:cs="B Zar"/>
        </w:rPr>
      </w:pPr>
      <w:r w:rsidRPr="00AA4F41">
        <w:rPr>
          <w:rFonts w:cs="B Zar"/>
          <w:rtl/>
        </w:rPr>
        <w:t>تبیین چگونگی تبرئه ایشان از سوی خداوند؛</w:t>
      </w:r>
    </w:p>
    <w:p w14:paraId="7E05CA87" w14:textId="77777777" w:rsidR="00AA4F41" w:rsidRPr="00AA4F41" w:rsidRDefault="00AA4F41" w:rsidP="00AA4F41">
      <w:pPr>
        <w:numPr>
          <w:ilvl w:val="0"/>
          <w:numId w:val="1"/>
        </w:numPr>
        <w:rPr>
          <w:rFonts w:cs="B Zar"/>
        </w:rPr>
      </w:pPr>
      <w:r w:rsidRPr="00AA4F41">
        <w:rPr>
          <w:rFonts w:cs="B Zar"/>
          <w:rtl/>
        </w:rPr>
        <w:t>شناسایی مصداق اذیت پیامبر اکرم(ص) با توجه به تشبیه موجود در آیه؛</w:t>
      </w:r>
    </w:p>
    <w:p w14:paraId="3F37A7BC" w14:textId="2A319AB0" w:rsidR="00AA4F41" w:rsidRPr="00AA4F41" w:rsidRDefault="00AA4F41" w:rsidP="00AA4F41">
      <w:pPr>
        <w:numPr>
          <w:ilvl w:val="0"/>
          <w:numId w:val="1"/>
        </w:numPr>
        <w:rPr>
          <w:rFonts w:cs="B Zar"/>
        </w:rPr>
      </w:pPr>
      <w:r w:rsidRPr="00AA4F41">
        <w:rPr>
          <w:rFonts w:cs="B Zar"/>
          <w:rtl/>
        </w:rPr>
        <w:lastRenderedPageBreak/>
        <w:t xml:space="preserve">تبیین ارتباط تبرئه الهی با تعبیر </w:t>
      </w:r>
      <w:r>
        <w:rPr>
          <w:rFonts w:cs="B Zar"/>
          <w:rtl/>
        </w:rPr>
        <w:t>“</w:t>
      </w:r>
      <w:r w:rsidRPr="00AA4F41">
        <w:rPr>
          <w:rFonts w:cs="B Zar"/>
          <w:rtl/>
        </w:rPr>
        <w:t>وَکَانَ عِندَ اللَّهِ وَجِیهًا</w:t>
      </w:r>
      <w:r w:rsidRPr="00AA4F41">
        <w:rPr>
          <w:rFonts w:cs="B Zar"/>
        </w:rPr>
        <w:t>».</w:t>
      </w:r>
    </w:p>
    <w:p w14:paraId="552AB987" w14:textId="77777777" w:rsidR="00AA4F41" w:rsidRPr="00AA4F41" w:rsidRDefault="00AA4F41" w:rsidP="00AA4F41">
      <w:pPr>
        <w:rPr>
          <w:rFonts w:cs="B Zar"/>
        </w:rPr>
      </w:pPr>
      <w:r w:rsidRPr="00AA4F41">
        <w:rPr>
          <w:rFonts w:cs="B Zar"/>
          <w:rtl/>
        </w:rPr>
        <w:t>احتمالات مطرح درباره اذیت حضرت موسی(ع)</w:t>
      </w:r>
    </w:p>
    <w:p w14:paraId="631C4EE6" w14:textId="77777777" w:rsidR="00AA4F41" w:rsidRPr="00AA4F41" w:rsidRDefault="00AA4F41" w:rsidP="00AA4F41">
      <w:pPr>
        <w:rPr>
          <w:rFonts w:cs="B Zar"/>
        </w:rPr>
      </w:pPr>
      <w:r w:rsidRPr="00AA4F41">
        <w:rPr>
          <w:rFonts w:cs="B Zar"/>
          <w:rtl/>
        </w:rPr>
        <w:t>ارائه‌دهنده مهم‌ترین احتمالات مطرح‌شده در تفاسیر را چنین برشمرد</w:t>
      </w:r>
      <w:r w:rsidRPr="00AA4F41">
        <w:rPr>
          <w:rFonts w:cs="B Zar"/>
        </w:rPr>
        <w:t>:</w:t>
      </w:r>
    </w:p>
    <w:p w14:paraId="500BCC1C" w14:textId="77777777" w:rsidR="00AA4F41" w:rsidRPr="00AA4F41" w:rsidRDefault="00AA4F41" w:rsidP="00AA4F41">
      <w:pPr>
        <w:numPr>
          <w:ilvl w:val="0"/>
          <w:numId w:val="2"/>
        </w:numPr>
        <w:rPr>
          <w:rFonts w:cs="B Zar"/>
        </w:rPr>
      </w:pPr>
      <w:r w:rsidRPr="00AA4F41">
        <w:rPr>
          <w:rFonts w:cs="B Zar"/>
          <w:rtl/>
        </w:rPr>
        <w:t>اتهام عیب جسمانی؛ از جمله نقص جسمانی، بیماری پوستی یا پیسی؛</w:t>
      </w:r>
    </w:p>
    <w:p w14:paraId="6FA21FFE" w14:textId="77777777" w:rsidR="00AA4F41" w:rsidRPr="00AA4F41" w:rsidRDefault="00AA4F41" w:rsidP="00AA4F41">
      <w:pPr>
        <w:numPr>
          <w:ilvl w:val="0"/>
          <w:numId w:val="2"/>
        </w:numPr>
        <w:rPr>
          <w:rFonts w:cs="B Zar"/>
        </w:rPr>
      </w:pPr>
      <w:r w:rsidRPr="00AA4F41">
        <w:rPr>
          <w:rFonts w:cs="B Zar"/>
          <w:rtl/>
        </w:rPr>
        <w:t>اتهام قتل حضرت هارون(ع)؛</w:t>
      </w:r>
    </w:p>
    <w:p w14:paraId="39B23A9A" w14:textId="77777777" w:rsidR="00AA4F41" w:rsidRPr="00AA4F41" w:rsidRDefault="00AA4F41" w:rsidP="00AA4F41">
      <w:pPr>
        <w:numPr>
          <w:ilvl w:val="0"/>
          <w:numId w:val="2"/>
        </w:numPr>
        <w:rPr>
          <w:rFonts w:cs="B Zar"/>
        </w:rPr>
      </w:pPr>
      <w:r w:rsidRPr="00AA4F41">
        <w:rPr>
          <w:rFonts w:cs="B Zar"/>
          <w:rtl/>
        </w:rPr>
        <w:t>اتهام ارتباط نامشروع که در برخی روایات به توطئه قارون نسبت داده شده است؛</w:t>
      </w:r>
    </w:p>
    <w:p w14:paraId="057EEC02" w14:textId="77777777" w:rsidR="00AA4F41" w:rsidRPr="00AA4F41" w:rsidRDefault="00AA4F41" w:rsidP="00AA4F41">
      <w:pPr>
        <w:numPr>
          <w:ilvl w:val="0"/>
          <w:numId w:val="2"/>
        </w:numPr>
        <w:rPr>
          <w:rFonts w:cs="B Zar"/>
        </w:rPr>
      </w:pPr>
      <w:r w:rsidRPr="00AA4F41">
        <w:rPr>
          <w:rFonts w:cs="B Zar"/>
          <w:rtl/>
        </w:rPr>
        <w:t>نسبت دادن سحر و تعلیم سحر به حضرت موسی(ع)؛</w:t>
      </w:r>
    </w:p>
    <w:p w14:paraId="7130B5D5" w14:textId="77777777" w:rsidR="00AA4F41" w:rsidRPr="00AA4F41" w:rsidRDefault="00AA4F41" w:rsidP="00AA4F41">
      <w:pPr>
        <w:numPr>
          <w:ilvl w:val="0"/>
          <w:numId w:val="2"/>
        </w:numPr>
        <w:rPr>
          <w:rFonts w:cs="B Zar"/>
        </w:rPr>
      </w:pPr>
      <w:r w:rsidRPr="00AA4F41">
        <w:rPr>
          <w:rFonts w:cs="B Zar"/>
          <w:rtl/>
        </w:rPr>
        <w:t>نسبت دادن جنون به آن حضرت</w:t>
      </w:r>
      <w:r w:rsidRPr="00AA4F41">
        <w:rPr>
          <w:rFonts w:cs="B Zar"/>
        </w:rPr>
        <w:t>.</w:t>
      </w:r>
    </w:p>
    <w:p w14:paraId="74BC938D" w14:textId="66B37EA9" w:rsidR="00AA4F41" w:rsidRPr="00AA4F41" w:rsidRDefault="00AA4F41" w:rsidP="00AA4F41">
      <w:pPr>
        <w:rPr>
          <w:rFonts w:cs="B Zar"/>
        </w:rPr>
      </w:pPr>
      <w:r w:rsidRPr="00AA4F41">
        <w:rPr>
          <w:rFonts w:cs="B Zar"/>
          <w:rtl/>
        </w:rPr>
        <w:t xml:space="preserve">وی سپس با بررسی این احتمالات، اشکالاتی بر آنها وارد کرد؛ از جمله اینکه برخی از این موارد با خطاب </w:t>
      </w:r>
      <w:r>
        <w:rPr>
          <w:rFonts w:cs="B Zar"/>
          <w:rtl/>
        </w:rPr>
        <w:t>“</w:t>
      </w:r>
      <w:r w:rsidRPr="00AA4F41">
        <w:rPr>
          <w:rFonts w:cs="B Zar"/>
          <w:rtl/>
        </w:rPr>
        <w:t>یَا أَیُّهَا الَّذِینَ آمَنُوا</w:t>
      </w:r>
      <w:r>
        <w:rPr>
          <w:rFonts w:cs="B Zar"/>
          <w:rtl/>
        </w:rPr>
        <w:t>”</w:t>
      </w:r>
      <w:r w:rsidRPr="00AA4F41">
        <w:rPr>
          <w:rFonts w:cs="B Zar"/>
          <w:rtl/>
        </w:rPr>
        <w:t>و فضای کلی آیه تناسب کافی ندارند و برخی نیز از پشتوانه صریح قرآنی برخوردار نیستند. همچنین احتمال عیب جسمانی از جهت سازگاری با شأن نبوت مورد نقد قرار گرفت</w:t>
      </w:r>
      <w:r w:rsidRPr="00AA4F41">
        <w:rPr>
          <w:rFonts w:cs="B Zar"/>
        </w:rPr>
        <w:t>.</w:t>
      </w:r>
    </w:p>
    <w:p w14:paraId="01758D13" w14:textId="77777777" w:rsidR="00AA4F41" w:rsidRPr="00AA4F41" w:rsidRDefault="00AA4F41" w:rsidP="00AA4F41">
      <w:pPr>
        <w:rPr>
          <w:rFonts w:cs="B Zar"/>
          <w:b/>
          <w:bCs/>
        </w:rPr>
      </w:pPr>
      <w:r w:rsidRPr="00AA4F41">
        <w:rPr>
          <w:rFonts w:cs="B Zar"/>
          <w:b/>
          <w:bCs/>
          <w:rtl/>
        </w:rPr>
        <w:t>دیدگاه مختار ارائه‌دهنده</w:t>
      </w:r>
    </w:p>
    <w:p w14:paraId="15B1C754" w14:textId="77777777" w:rsidR="00AA4F41" w:rsidRPr="00AA4F41" w:rsidRDefault="00AA4F41" w:rsidP="00AA4F41">
      <w:pPr>
        <w:rPr>
          <w:rFonts w:cs="B Zar"/>
        </w:rPr>
      </w:pPr>
      <w:r w:rsidRPr="00AA4F41">
        <w:rPr>
          <w:rFonts w:cs="B Zar"/>
          <w:rtl/>
        </w:rPr>
        <w:t>ارائه‌دهنده در ادامه با تکیه بر تفسیر قرآن به قرآن و توجه به سیاق آیات، دیدگاه مختار خود را مطرح کرد. به نظر وی، مقصود از اذیت حضرت موسی(ع)، نسبت دادن نسیان و قصور در انجام رسالت به آن حضرت است؛ نسبتی که می‌توانست زمینه توجیه گوساله‌پرستی و انحراف بنی‌اسرائیل را فراهم کند</w:t>
      </w:r>
      <w:r w:rsidRPr="00AA4F41">
        <w:rPr>
          <w:rFonts w:cs="B Zar"/>
        </w:rPr>
        <w:t>.</w:t>
      </w:r>
    </w:p>
    <w:p w14:paraId="6038A88C" w14:textId="5D03F2FC" w:rsidR="00AA4F41" w:rsidRPr="00AA4F41" w:rsidRDefault="00AA4F41" w:rsidP="00AA4F41">
      <w:pPr>
        <w:rPr>
          <w:rFonts w:cs="B Zar"/>
        </w:rPr>
      </w:pPr>
      <w:r w:rsidRPr="00AA4F41">
        <w:rPr>
          <w:rFonts w:cs="B Zar"/>
          <w:rtl/>
        </w:rPr>
        <w:lastRenderedPageBreak/>
        <w:t xml:space="preserve">وی برای این دیدگاه به آیات </w:t>
      </w:r>
      <w:r w:rsidRPr="00AA4F41">
        <w:rPr>
          <w:rFonts w:cs="B Zar"/>
          <w:rtl/>
          <w:lang w:bidi="fa-IR"/>
        </w:rPr>
        <w:t>۸۷</w:t>
      </w:r>
      <w:r w:rsidRPr="00AA4F41">
        <w:rPr>
          <w:rFonts w:cs="B Zar"/>
          <w:rtl/>
        </w:rPr>
        <w:t xml:space="preserve"> تا </w:t>
      </w:r>
      <w:r w:rsidRPr="00AA4F41">
        <w:rPr>
          <w:rFonts w:cs="B Zar"/>
          <w:rtl/>
          <w:lang w:bidi="fa-IR"/>
        </w:rPr>
        <w:t>۸۹</w:t>
      </w:r>
      <w:r w:rsidRPr="00AA4F41">
        <w:rPr>
          <w:rFonts w:cs="B Zar"/>
          <w:rtl/>
        </w:rPr>
        <w:t xml:space="preserve"> سوره طه، به‌ویژه تعبیر </w:t>
      </w:r>
      <w:r>
        <w:rPr>
          <w:rFonts w:cs="B Zar"/>
          <w:rtl/>
        </w:rPr>
        <w:t>“</w:t>
      </w:r>
      <w:r w:rsidRPr="00AA4F41">
        <w:rPr>
          <w:rFonts w:cs="B Zar"/>
          <w:rtl/>
        </w:rPr>
        <w:t>فَنَسِیَ</w:t>
      </w:r>
      <w:r w:rsidRPr="00AA4F41">
        <w:rPr>
          <w:rFonts w:cs="B Zar"/>
        </w:rPr>
        <w:t>»</w:t>
      </w:r>
      <w:r w:rsidRPr="00AA4F41">
        <w:rPr>
          <w:rFonts w:cs="B Zar"/>
          <w:rtl/>
        </w:rPr>
        <w:t>، استناد کرد و با بررسی مرجع ضمیر، احتمال انتساب نسیان به حضرت موسی(ع) را تقویت نمود</w:t>
      </w:r>
      <w:r w:rsidRPr="00AA4F41">
        <w:rPr>
          <w:rFonts w:cs="B Zar"/>
        </w:rPr>
        <w:t>.</w:t>
      </w:r>
    </w:p>
    <w:p w14:paraId="78A6EFB1" w14:textId="77777777" w:rsidR="00AA4F41" w:rsidRPr="00AA4F41" w:rsidRDefault="00AA4F41" w:rsidP="00AA4F41">
      <w:pPr>
        <w:rPr>
          <w:rFonts w:cs="B Zar"/>
        </w:rPr>
      </w:pPr>
      <w:r w:rsidRPr="00AA4F41">
        <w:rPr>
          <w:rFonts w:cs="B Zar"/>
          <w:rtl/>
        </w:rPr>
        <w:t xml:space="preserve">در بخش پایانی ارائه نیز این تحلیل به پیامبر اکرم(ص) تطبیق داده شد. بر اساس دیدگاه ارائه‌دهنده، همان‌گونه که نسبت دادن قصور در رسالت به حضرت موسی(ع) زمینه انحراف بنی‌اسرائیل را فراهم کرد، در مورد پیامبر اکرم(ص) نیز نسبت دادن قصور در امر هدایت امت و مسئله امامت می‌تواند در چارچوب همین مفهوم از اذیت قرار گیرد. برای تأیید این دیدگاه، به حدیث منزلت و برخی روایات منقول در </w:t>
      </w:r>
      <w:r w:rsidRPr="00AA4F41">
        <w:rPr>
          <w:rFonts w:cs="B Zar"/>
          <w:i/>
          <w:iCs/>
          <w:rtl/>
        </w:rPr>
        <w:t>الکافی</w:t>
      </w:r>
      <w:r w:rsidRPr="00AA4F41">
        <w:rPr>
          <w:rFonts w:cs="B Zar"/>
          <w:rtl/>
        </w:rPr>
        <w:t xml:space="preserve"> و </w:t>
      </w:r>
      <w:r w:rsidRPr="00AA4F41">
        <w:rPr>
          <w:rFonts w:cs="B Zar"/>
          <w:i/>
          <w:iCs/>
          <w:rtl/>
        </w:rPr>
        <w:t>القراءات</w:t>
      </w:r>
      <w:r w:rsidRPr="00AA4F41">
        <w:rPr>
          <w:rFonts w:cs="B Zar"/>
          <w:rtl/>
        </w:rPr>
        <w:t xml:space="preserve"> استناد شد</w:t>
      </w:r>
      <w:r w:rsidRPr="00AA4F41">
        <w:rPr>
          <w:rFonts w:cs="B Zar"/>
        </w:rPr>
        <w:t>.</w:t>
      </w:r>
    </w:p>
    <w:p w14:paraId="37463FF4" w14:textId="77777777" w:rsidR="00AA4F41" w:rsidRPr="00AA4F41" w:rsidRDefault="00AA4F41" w:rsidP="00AA4F41">
      <w:pPr>
        <w:rPr>
          <w:rFonts w:cs="B Zar"/>
          <w:b/>
          <w:bCs/>
        </w:rPr>
      </w:pPr>
      <w:r w:rsidRPr="00AA4F41">
        <w:rPr>
          <w:rFonts w:cs="B Zar"/>
          <w:b/>
          <w:bCs/>
          <w:rtl/>
          <w:lang w:bidi="fa-IR"/>
        </w:rPr>
        <w:t>۲</w:t>
      </w:r>
      <w:r w:rsidRPr="00AA4F41">
        <w:rPr>
          <w:rFonts w:cs="B Zar"/>
          <w:b/>
          <w:bCs/>
        </w:rPr>
        <w:t xml:space="preserve">. </w:t>
      </w:r>
      <w:r w:rsidRPr="00AA4F41">
        <w:rPr>
          <w:rFonts w:cs="B Zar"/>
          <w:b/>
          <w:bCs/>
          <w:rtl/>
        </w:rPr>
        <w:t>نقد و بررسی</w:t>
      </w:r>
    </w:p>
    <w:p w14:paraId="1D1047CA" w14:textId="77777777" w:rsidR="00AA4F41" w:rsidRPr="00AA4F41" w:rsidRDefault="00AA4F41" w:rsidP="00AA4F41">
      <w:pPr>
        <w:rPr>
          <w:rFonts w:cs="B Zar"/>
        </w:rPr>
      </w:pPr>
      <w:r w:rsidRPr="00AA4F41">
        <w:rPr>
          <w:rFonts w:cs="B Zar"/>
          <w:rtl/>
        </w:rPr>
        <w:t>پس از ارائه، جناب آقای مظفری به نقد و بررسی مطالب پرداخت. ایشان ضمن بیان اینکه در اصل مقصد و جهت کلی دیدگاه ارائه‌دهنده موافق است، اما در مسیر استدلال و نحوه اثبات مدعا ملاحظاتی دارد، نقدهای خود را در چند محور مطرح کرد</w:t>
      </w:r>
      <w:r w:rsidRPr="00AA4F41">
        <w:rPr>
          <w:rFonts w:cs="B Zar"/>
        </w:rPr>
        <w:t>:</w:t>
      </w:r>
    </w:p>
    <w:p w14:paraId="149EC330" w14:textId="77777777" w:rsidR="00AA4F41" w:rsidRPr="00AA4F41" w:rsidRDefault="00AA4F41" w:rsidP="00AA4F41">
      <w:pPr>
        <w:numPr>
          <w:ilvl w:val="0"/>
          <w:numId w:val="3"/>
        </w:numPr>
        <w:rPr>
          <w:rFonts w:cs="B Zar"/>
        </w:rPr>
      </w:pPr>
      <w:r w:rsidRPr="00AA4F41">
        <w:rPr>
          <w:rFonts w:cs="B Zar"/>
          <w:rtl/>
        </w:rPr>
        <w:t>نقد سندی روایات</w:t>
      </w:r>
      <w:r w:rsidRPr="00AA4F41">
        <w:rPr>
          <w:rFonts w:cs="B Zar"/>
        </w:rPr>
        <w:t xml:space="preserve">: </w:t>
      </w:r>
      <w:r w:rsidRPr="00AA4F41">
        <w:rPr>
          <w:rFonts w:cs="B Zar"/>
          <w:rtl/>
        </w:rPr>
        <w:t>درباره دو روایت مورد استناد ارائه‌دهنده، اشکالات سندی مطرح شد و تأکید گردید که این روایات، در صورت پذیرش، بیشتر در جایگاه مؤید قرار می‌گیرند و نمی‌توان بدون بررسی کافی آنها را دلیل اصلی مدعا قرار داد</w:t>
      </w:r>
      <w:r w:rsidRPr="00AA4F41">
        <w:rPr>
          <w:rFonts w:cs="B Zar"/>
        </w:rPr>
        <w:t>.</w:t>
      </w:r>
    </w:p>
    <w:p w14:paraId="29B2C1C2" w14:textId="63384D9D" w:rsidR="00AA4F41" w:rsidRPr="00AA4F41" w:rsidRDefault="00AA4F41" w:rsidP="00AA4F41">
      <w:pPr>
        <w:numPr>
          <w:ilvl w:val="0"/>
          <w:numId w:val="3"/>
        </w:numPr>
        <w:rPr>
          <w:rFonts w:cs="B Zar"/>
        </w:rPr>
      </w:pPr>
      <w:r>
        <w:rPr>
          <w:rFonts w:cs="B Zar" w:hint="cs"/>
          <w:rtl/>
        </w:rPr>
        <w:t>تعارض بین</w:t>
      </w:r>
      <w:r w:rsidRPr="00AA4F41">
        <w:rPr>
          <w:rFonts w:cs="B Zar"/>
          <w:rtl/>
        </w:rPr>
        <w:t xml:space="preserve"> ظاهر آیه و سیاق </w:t>
      </w:r>
      <w:r>
        <w:rPr>
          <w:rFonts w:cs="B Zar" w:hint="cs"/>
          <w:rtl/>
        </w:rPr>
        <w:t>: می فرماید مومنین پیامبرتان را اذیت نکنید که این بیان صف احتمال است و این اشکال بر شما وارد استکه مگر سامری مومن به حضرت موسی علیه السلام بوده؟؟</w:t>
      </w:r>
    </w:p>
    <w:p w14:paraId="49C00798" w14:textId="77777777" w:rsidR="00AA4F41" w:rsidRPr="00AA4F41" w:rsidRDefault="00AA4F41" w:rsidP="00AA4F41">
      <w:pPr>
        <w:numPr>
          <w:ilvl w:val="0"/>
          <w:numId w:val="3"/>
        </w:numPr>
        <w:rPr>
          <w:rFonts w:cs="B Zar"/>
        </w:rPr>
      </w:pPr>
      <w:r w:rsidRPr="00AA4F41">
        <w:rPr>
          <w:rFonts w:cs="B Zar"/>
          <w:rtl/>
        </w:rPr>
        <w:lastRenderedPageBreak/>
        <w:t>اطلاق مفهوم اذیت</w:t>
      </w:r>
      <w:r w:rsidRPr="00AA4F41">
        <w:rPr>
          <w:rFonts w:cs="B Zar"/>
        </w:rPr>
        <w:t xml:space="preserve">: </w:t>
      </w:r>
      <w:r w:rsidRPr="00AA4F41">
        <w:rPr>
          <w:rFonts w:cs="B Zar"/>
          <w:rtl/>
        </w:rPr>
        <w:t>در برداشت ارائه‌دهنده از فضای آیه به‌عنوان مسئله‌ای اعتقادی و کلان، ملاحظاتی مطرح شد و احتمال داده شد که تعبیر آیه دارای اطلاق باشد و به یک نوع خاص از اذیت محدود نشود</w:t>
      </w:r>
      <w:r w:rsidRPr="00AA4F41">
        <w:rPr>
          <w:rFonts w:cs="B Zar"/>
        </w:rPr>
        <w:t>.</w:t>
      </w:r>
    </w:p>
    <w:p w14:paraId="66F01D12" w14:textId="0CD4C6F7" w:rsidR="00AA4F41" w:rsidRPr="00AA4F41" w:rsidRDefault="00AA4F41" w:rsidP="00AA4F41">
      <w:pPr>
        <w:numPr>
          <w:ilvl w:val="0"/>
          <w:numId w:val="3"/>
        </w:numPr>
        <w:rPr>
          <w:rFonts w:cs="B Zar"/>
        </w:rPr>
      </w:pPr>
      <w:r w:rsidRPr="00AA4F41">
        <w:rPr>
          <w:rFonts w:cs="B Zar"/>
          <w:rtl/>
        </w:rPr>
        <w:t>فاعل اذیت</w:t>
      </w:r>
      <w:r w:rsidRPr="00AA4F41">
        <w:rPr>
          <w:rFonts w:cs="B Zar"/>
        </w:rPr>
        <w:t xml:space="preserve">: </w:t>
      </w:r>
      <w:r w:rsidRPr="00AA4F41">
        <w:rPr>
          <w:rFonts w:cs="B Zar"/>
          <w:rtl/>
        </w:rPr>
        <w:t xml:space="preserve">درباره تعیین فاعل اذیت و اینکه آیا از ظاهر آیه می‌توان یکی از احتمالات خاص را اثبات کرد، </w:t>
      </w:r>
      <w:r w:rsidR="00495035">
        <w:rPr>
          <w:rFonts w:cs="B Zar" w:hint="cs"/>
          <w:rtl/>
        </w:rPr>
        <w:t>چیزی معلوم نمی شود و ظاهرا با هر دو احتمال سازگار است.</w:t>
      </w:r>
    </w:p>
    <w:p w14:paraId="249826FD" w14:textId="77777777" w:rsidR="00AA4F41" w:rsidRPr="00AA4F41" w:rsidRDefault="00AA4F41" w:rsidP="00AA4F41">
      <w:pPr>
        <w:numPr>
          <w:ilvl w:val="0"/>
          <w:numId w:val="3"/>
        </w:numPr>
        <w:rPr>
          <w:rFonts w:cs="B Zar"/>
        </w:rPr>
      </w:pPr>
      <w:r w:rsidRPr="00AA4F41">
        <w:rPr>
          <w:rFonts w:cs="B Zar"/>
          <w:rtl/>
        </w:rPr>
        <w:t>تطبیق اذیت بر مسئله عدم نصب امام</w:t>
      </w:r>
      <w:r w:rsidRPr="00AA4F41">
        <w:rPr>
          <w:rFonts w:cs="B Zar"/>
        </w:rPr>
        <w:t xml:space="preserve">: </w:t>
      </w:r>
      <w:r w:rsidRPr="00AA4F41">
        <w:rPr>
          <w:rFonts w:cs="B Zar"/>
          <w:rtl/>
        </w:rPr>
        <w:t>ناقد این تطبیق را از جهت اصولی محل تأمل دانست و آن را به تمسک به عام در شبهه مصداقیه نزدیک دانست؛ ازاین‌رو، اثبات این مصداق را نیازمند دلیل روشن‌تر دانست</w:t>
      </w:r>
      <w:r w:rsidRPr="00AA4F41">
        <w:rPr>
          <w:rFonts w:cs="B Zar"/>
        </w:rPr>
        <w:t>.</w:t>
      </w:r>
    </w:p>
    <w:p w14:paraId="7C1C7D84" w14:textId="65779F1B" w:rsidR="00AA4F41" w:rsidRPr="00AA4F41" w:rsidRDefault="00AA4F41" w:rsidP="00AA4F41">
      <w:pPr>
        <w:numPr>
          <w:ilvl w:val="0"/>
          <w:numId w:val="3"/>
        </w:numPr>
        <w:rPr>
          <w:rFonts w:cs="B Zar"/>
        </w:rPr>
      </w:pPr>
      <w:r w:rsidRPr="00AA4F41">
        <w:rPr>
          <w:rFonts w:cs="B Zar"/>
          <w:rtl/>
        </w:rPr>
        <w:t>ارتباط آیه سوره طه با آیه مورد بحث</w:t>
      </w:r>
      <w:r w:rsidRPr="00AA4F41">
        <w:rPr>
          <w:rFonts w:cs="B Zar"/>
        </w:rPr>
        <w:t xml:space="preserve">: </w:t>
      </w:r>
      <w:r w:rsidRPr="00AA4F41">
        <w:rPr>
          <w:rFonts w:cs="B Zar"/>
          <w:rtl/>
        </w:rPr>
        <w:t xml:space="preserve">یکی از نقدهای اصلی ناقد این بود که ارتباط میان آیه </w:t>
      </w:r>
      <w:r w:rsidRPr="00AA4F41">
        <w:rPr>
          <w:rFonts w:cs="B Zar"/>
          <w:rtl/>
          <w:lang w:bidi="fa-IR"/>
        </w:rPr>
        <w:t>۶۹</w:t>
      </w:r>
      <w:r w:rsidRPr="00AA4F41">
        <w:rPr>
          <w:rFonts w:cs="B Zar"/>
          <w:rtl/>
        </w:rPr>
        <w:t xml:space="preserve"> سوره احزاب و آیات سوره طه، به‌ویژه تعبیر </w:t>
      </w:r>
      <w:r>
        <w:rPr>
          <w:rFonts w:cs="B Zar"/>
          <w:rtl/>
        </w:rPr>
        <w:t>“</w:t>
      </w:r>
      <w:r w:rsidRPr="00AA4F41">
        <w:rPr>
          <w:rFonts w:cs="B Zar"/>
          <w:rtl/>
        </w:rPr>
        <w:t xml:space="preserve">فَنَسِیَ»، به اندازه کافی اثبات نشده است و صرف وجود تعبیر نسیان در آن آیات برای تعیین مصداق </w:t>
      </w:r>
      <w:r>
        <w:rPr>
          <w:rFonts w:cs="B Zar"/>
          <w:rtl/>
        </w:rPr>
        <w:t>“</w:t>
      </w:r>
      <w:r w:rsidRPr="00AA4F41">
        <w:rPr>
          <w:rFonts w:cs="B Zar"/>
          <w:rtl/>
        </w:rPr>
        <w:t>اذیت</w:t>
      </w:r>
      <w:r>
        <w:rPr>
          <w:rFonts w:cs="B Zar"/>
          <w:rtl/>
        </w:rPr>
        <w:t>”</w:t>
      </w:r>
      <w:r w:rsidRPr="00AA4F41">
        <w:rPr>
          <w:rFonts w:cs="B Zar"/>
          <w:rtl/>
        </w:rPr>
        <w:t>در آیه احزاب کافی نیست</w:t>
      </w:r>
      <w:r w:rsidRPr="00AA4F41">
        <w:rPr>
          <w:rFonts w:cs="B Zar"/>
        </w:rPr>
        <w:t>.</w:t>
      </w:r>
    </w:p>
    <w:p w14:paraId="6C082756" w14:textId="77777777" w:rsidR="00AA4F41" w:rsidRPr="00AA4F41" w:rsidRDefault="00AA4F41" w:rsidP="00AA4F41">
      <w:pPr>
        <w:rPr>
          <w:rFonts w:cs="B Zar"/>
        </w:rPr>
      </w:pPr>
      <w:r w:rsidRPr="00AA4F41">
        <w:rPr>
          <w:rFonts w:cs="B Zar"/>
          <w:rtl/>
          <w:lang w:bidi="fa-IR"/>
        </w:rPr>
        <w:t>۳</w:t>
      </w:r>
      <w:r w:rsidRPr="00AA4F41">
        <w:rPr>
          <w:rFonts w:cs="B Zar"/>
        </w:rPr>
        <w:t xml:space="preserve">. </w:t>
      </w:r>
      <w:r w:rsidRPr="00AA4F41">
        <w:rPr>
          <w:rFonts w:cs="B Zar"/>
          <w:rtl/>
        </w:rPr>
        <w:t>پاسخ ارائه‌دهنده</w:t>
      </w:r>
    </w:p>
    <w:p w14:paraId="0FDA0E26" w14:textId="77777777" w:rsidR="00AA4F41" w:rsidRPr="00AA4F41" w:rsidRDefault="00AA4F41" w:rsidP="00AA4F41">
      <w:pPr>
        <w:rPr>
          <w:rFonts w:cs="B Zar"/>
        </w:rPr>
      </w:pPr>
      <w:r w:rsidRPr="00AA4F41">
        <w:rPr>
          <w:rFonts w:cs="B Zar"/>
          <w:rtl/>
        </w:rPr>
        <w:t>در ادامه، آقای بیرانوند درصدد پاسخ‌گویی به نقدهای مطرح‌شده برآمدند و ضمن توضیح برخی از مبانی و مستندات دیدگاه خود، به اشکالات و پرسش‌های مطرح‌شده از سوی ناقد پاسخ دادند. این بخش از جلسه به گفت‌وگوی علمی میان ارائه‌دهنده و ناقد و بررسی متقابل ادله اختصاص یافت</w:t>
      </w:r>
      <w:r w:rsidRPr="00AA4F41">
        <w:rPr>
          <w:rFonts w:cs="B Zar"/>
        </w:rPr>
        <w:t>.</w:t>
      </w:r>
    </w:p>
    <w:p w14:paraId="3B5D7DAE" w14:textId="77777777" w:rsidR="00AA4F41" w:rsidRPr="00AA4F41" w:rsidRDefault="00AA4F41" w:rsidP="00AA4F41">
      <w:pPr>
        <w:rPr>
          <w:rFonts w:cs="B Zar"/>
        </w:rPr>
      </w:pPr>
      <w:r w:rsidRPr="00AA4F41">
        <w:rPr>
          <w:rFonts w:cs="B Zar"/>
          <w:rtl/>
          <w:lang w:bidi="fa-IR"/>
        </w:rPr>
        <w:t>۴</w:t>
      </w:r>
      <w:r w:rsidRPr="00AA4F41">
        <w:rPr>
          <w:rFonts w:cs="B Zar"/>
        </w:rPr>
        <w:t xml:space="preserve">. </w:t>
      </w:r>
      <w:r w:rsidRPr="00AA4F41">
        <w:rPr>
          <w:rFonts w:cs="B Zar"/>
          <w:rtl/>
        </w:rPr>
        <w:t>جمع‌بندی نشست</w:t>
      </w:r>
    </w:p>
    <w:p w14:paraId="0CAB46B1" w14:textId="13C89E1A" w:rsidR="00AA4F41" w:rsidRPr="00AA4F41" w:rsidRDefault="00AA4F41" w:rsidP="00AA4F41">
      <w:pPr>
        <w:rPr>
          <w:rFonts w:cs="B Zar"/>
        </w:rPr>
      </w:pPr>
      <w:r w:rsidRPr="00AA4F41">
        <w:rPr>
          <w:rFonts w:cs="B Zar"/>
          <w:rtl/>
        </w:rPr>
        <w:t xml:space="preserve">در مجموع، نشست به بررسی یکی از مسائل قابل توجه تفسیری در آیه </w:t>
      </w:r>
      <w:r w:rsidRPr="00AA4F41">
        <w:rPr>
          <w:rFonts w:cs="B Zar"/>
          <w:rtl/>
          <w:lang w:bidi="fa-IR"/>
        </w:rPr>
        <w:t>۶۹</w:t>
      </w:r>
      <w:r w:rsidRPr="00AA4F41">
        <w:rPr>
          <w:rFonts w:cs="B Zar"/>
          <w:rtl/>
        </w:rPr>
        <w:t xml:space="preserve"> سوره احزاب، یعنی مصداق‌شناسی </w:t>
      </w:r>
      <w:r>
        <w:rPr>
          <w:rFonts w:cs="B Zar"/>
          <w:rtl/>
        </w:rPr>
        <w:t>“</w:t>
      </w:r>
      <w:r w:rsidRPr="00AA4F41">
        <w:rPr>
          <w:rFonts w:cs="B Zar"/>
          <w:rtl/>
        </w:rPr>
        <w:t>اذیت</w:t>
      </w:r>
      <w:r>
        <w:rPr>
          <w:rFonts w:cs="B Zar"/>
          <w:rtl/>
        </w:rPr>
        <w:t>”</w:t>
      </w:r>
      <w:r w:rsidRPr="00AA4F41">
        <w:rPr>
          <w:rFonts w:cs="B Zar"/>
          <w:rtl/>
        </w:rPr>
        <w:t>حضرت موسی(ع) و وجه تشبیه آن با اذیت پیامبر اکرم(ص) اختصاص داشت</w:t>
      </w:r>
      <w:r w:rsidRPr="00AA4F41">
        <w:rPr>
          <w:rFonts w:cs="B Zar"/>
        </w:rPr>
        <w:t>.</w:t>
      </w:r>
    </w:p>
    <w:p w14:paraId="21C3BCE9" w14:textId="77777777" w:rsidR="00AA4F41" w:rsidRPr="00AA4F41" w:rsidRDefault="00AA4F41" w:rsidP="00AA4F41">
      <w:pPr>
        <w:rPr>
          <w:rFonts w:cs="B Zar"/>
        </w:rPr>
      </w:pPr>
      <w:r w:rsidRPr="00AA4F41">
        <w:rPr>
          <w:rFonts w:cs="B Zar"/>
          <w:rtl/>
        </w:rPr>
        <w:t>ارائه‌دهنده با بررسی احتمالات مختلف، نسبت دادن نسیان و قصور در انجام رسالت به حضرت موسی(ع) را مصداق اصلی اذیت دانست و بر اساس تشبیه موجود در آیه، مصداق متناظر آن درباره پیامبر اکرم(ص) را در مسئله هدایت امت و امامت جست‌وجو کرد</w:t>
      </w:r>
      <w:r w:rsidRPr="00AA4F41">
        <w:rPr>
          <w:rFonts w:cs="B Zar"/>
        </w:rPr>
        <w:t>.</w:t>
      </w:r>
    </w:p>
    <w:p w14:paraId="6D32EA7E" w14:textId="77777777" w:rsidR="00AA4F41" w:rsidRPr="00AA4F41" w:rsidRDefault="00AA4F41" w:rsidP="00AA4F41">
      <w:pPr>
        <w:rPr>
          <w:rFonts w:cs="B Zar"/>
        </w:rPr>
      </w:pPr>
      <w:r w:rsidRPr="00AA4F41">
        <w:rPr>
          <w:rFonts w:cs="B Zar"/>
          <w:rtl/>
        </w:rPr>
        <w:t>در مقابل، ناقد بر ضرورت تقویت مستندات روایی، اثبات دقیق‌تر ارتباط آیات سوره طه با آیه مورد بحث و ارائه دلیل کافی برای تطبیق مفهوم اذیت بر مسئله امامت تأکید کرد</w:t>
      </w:r>
      <w:r w:rsidRPr="00AA4F41">
        <w:rPr>
          <w:rFonts w:cs="B Zar"/>
        </w:rPr>
        <w:t>.</w:t>
      </w:r>
    </w:p>
    <w:p w14:paraId="555AD849" w14:textId="77777777" w:rsidR="00AA4F41" w:rsidRPr="00AA4F41" w:rsidRDefault="00AA4F41" w:rsidP="00AA4F41">
      <w:pPr>
        <w:rPr>
          <w:rFonts w:cs="B Zar"/>
        </w:rPr>
      </w:pPr>
      <w:r w:rsidRPr="00AA4F41">
        <w:rPr>
          <w:rFonts w:cs="B Zar"/>
          <w:rtl/>
        </w:rPr>
        <w:t>در پایان، پس از حدود یک ساعت بحث و گفت‌وگوی علمی، جلسه با ذکر صلوات به پایان رسید</w:t>
      </w:r>
      <w:r w:rsidRPr="00AA4F41">
        <w:rPr>
          <w:rFonts w:cs="B Zar"/>
        </w:rPr>
        <w:t>.</w:t>
      </w:r>
    </w:p>
    <w:p w14:paraId="38F472B5" w14:textId="77777777" w:rsidR="00271033" w:rsidRPr="00AA4F41" w:rsidRDefault="00271033" w:rsidP="00AA4F41"/>
    <w:sectPr w:rsidR="00271033" w:rsidRPr="00AA4F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 Zar">
    <w:panose1 w:val="00000400000000000000"/>
    <w:charset w:val="B2"/>
    <w:family w:val="auto"/>
    <w:pitch w:val="variable"/>
    <w:sig w:usb0="00002001" w:usb1="80000000" w:usb2="00000008" w:usb3="00000000" w:csb0="00000040"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0D5F2E"/>
    <w:multiLevelType w:val="multilevel"/>
    <w:tmpl w:val="83B2C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9FD4A42"/>
    <w:multiLevelType w:val="multilevel"/>
    <w:tmpl w:val="F7E6B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F7615EB"/>
    <w:multiLevelType w:val="multilevel"/>
    <w:tmpl w:val="38243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F12"/>
    <w:rsid w:val="00170F12"/>
    <w:rsid w:val="001C16AD"/>
    <w:rsid w:val="00271033"/>
    <w:rsid w:val="00495035"/>
    <w:rsid w:val="009A71BC"/>
    <w:rsid w:val="009C089F"/>
    <w:rsid w:val="00AA4F41"/>
    <w:rsid w:val="00B00DF5"/>
    <w:rsid w:val="00C329CC"/>
    <w:rsid w:val="00DE4798"/>
    <w:rsid w:val="00F941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7EC88"/>
  <w15:chartTrackingRefBased/>
  <w15:docId w15:val="{FB22DF80-66D2-4C5E-989D-53D59B69A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 Zar" w:eastAsiaTheme="minorHAnsi" w:hAnsi="B Zar" w:cs="Times New Roman"/>
        <w:kern w:val="2"/>
        <w:sz w:val="28"/>
        <w:szCs w:val="28"/>
        <w:lang w:val="en-US" w:eastAsia="en-US" w:bidi="ar-SA"/>
        <w14:ligatures w14:val="standardContextual"/>
      </w:rPr>
    </w:rPrDefault>
    <w:pPrDefault>
      <w:pPr>
        <w:bidi/>
        <w:spacing w:after="160" w:line="360" w:lineRule="auto"/>
        <w:jc w:val="mediumKashida"/>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70F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70F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70F12"/>
    <w:pPr>
      <w:keepNext/>
      <w:keepLines/>
      <w:spacing w:before="160" w:after="80"/>
      <w:outlineLvl w:val="2"/>
    </w:pPr>
    <w:rPr>
      <w:rFonts w:asciiTheme="minorHAnsi" w:eastAsiaTheme="majorEastAsia" w:hAnsiTheme="minorHAnsi" w:cstheme="majorBidi"/>
      <w:color w:val="0F4761" w:themeColor="accent1" w:themeShade="BF"/>
    </w:rPr>
  </w:style>
  <w:style w:type="paragraph" w:styleId="4">
    <w:name w:val="heading 4"/>
    <w:basedOn w:val="a"/>
    <w:next w:val="a"/>
    <w:link w:val="40"/>
    <w:uiPriority w:val="9"/>
    <w:semiHidden/>
    <w:unhideWhenUsed/>
    <w:qFormat/>
    <w:rsid w:val="00170F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170F12"/>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170F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0F12"/>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0F12"/>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0F12"/>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170F12"/>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170F12"/>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170F12"/>
    <w:rPr>
      <w:rFonts w:asciiTheme="minorHAnsi" w:eastAsiaTheme="majorEastAsia" w:hAnsiTheme="minorHAnsi" w:cstheme="majorBidi"/>
      <w:color w:val="0F4761" w:themeColor="accent1" w:themeShade="BF"/>
    </w:rPr>
  </w:style>
  <w:style w:type="character" w:customStyle="1" w:styleId="40">
    <w:name w:val="عنوان 4 نویسه"/>
    <w:basedOn w:val="a0"/>
    <w:link w:val="4"/>
    <w:uiPriority w:val="9"/>
    <w:semiHidden/>
    <w:rsid w:val="00170F12"/>
    <w:rPr>
      <w:rFonts w:asciiTheme="minorHAnsi" w:eastAsiaTheme="majorEastAsia" w:hAnsiTheme="minorHAnsi" w:cstheme="majorBidi"/>
      <w:i/>
      <w:iCs/>
      <w:color w:val="0F4761" w:themeColor="accent1" w:themeShade="BF"/>
    </w:rPr>
  </w:style>
  <w:style w:type="character" w:customStyle="1" w:styleId="50">
    <w:name w:val="سرصفحه 5 نویسه"/>
    <w:basedOn w:val="a0"/>
    <w:link w:val="5"/>
    <w:uiPriority w:val="9"/>
    <w:semiHidden/>
    <w:rsid w:val="00170F12"/>
    <w:rPr>
      <w:rFonts w:asciiTheme="minorHAnsi" w:eastAsiaTheme="majorEastAsia" w:hAnsiTheme="minorHAnsi" w:cstheme="majorBidi"/>
      <w:color w:val="0F4761" w:themeColor="accent1" w:themeShade="BF"/>
    </w:rPr>
  </w:style>
  <w:style w:type="character" w:customStyle="1" w:styleId="60">
    <w:name w:val="سرصفحه 6 نویسه"/>
    <w:basedOn w:val="a0"/>
    <w:link w:val="6"/>
    <w:uiPriority w:val="9"/>
    <w:semiHidden/>
    <w:rsid w:val="00170F12"/>
    <w:rPr>
      <w:rFonts w:asciiTheme="minorHAnsi" w:eastAsiaTheme="majorEastAsia" w:hAnsiTheme="minorHAnsi" w:cstheme="majorBidi"/>
      <w:i/>
      <w:iCs/>
      <w:color w:val="595959" w:themeColor="text1" w:themeTint="A6"/>
    </w:rPr>
  </w:style>
  <w:style w:type="character" w:customStyle="1" w:styleId="70">
    <w:name w:val="سرصفحه 7 نویسه"/>
    <w:basedOn w:val="a0"/>
    <w:link w:val="7"/>
    <w:uiPriority w:val="9"/>
    <w:semiHidden/>
    <w:rsid w:val="00170F12"/>
    <w:rPr>
      <w:rFonts w:asciiTheme="minorHAnsi" w:eastAsiaTheme="majorEastAsia" w:hAnsiTheme="minorHAnsi" w:cstheme="majorBidi"/>
      <w:color w:val="595959" w:themeColor="text1" w:themeTint="A6"/>
    </w:rPr>
  </w:style>
  <w:style w:type="character" w:customStyle="1" w:styleId="80">
    <w:name w:val="سرصفحه 8 نویسه"/>
    <w:basedOn w:val="a0"/>
    <w:link w:val="8"/>
    <w:uiPriority w:val="9"/>
    <w:semiHidden/>
    <w:rsid w:val="00170F12"/>
    <w:rPr>
      <w:rFonts w:asciiTheme="minorHAnsi" w:eastAsiaTheme="majorEastAsia" w:hAnsiTheme="minorHAnsi" w:cstheme="majorBidi"/>
      <w:i/>
      <w:iCs/>
      <w:color w:val="272727" w:themeColor="text1" w:themeTint="D8"/>
    </w:rPr>
  </w:style>
  <w:style w:type="character" w:customStyle="1" w:styleId="90">
    <w:name w:val="سرصفحه 9 نویسه"/>
    <w:basedOn w:val="a0"/>
    <w:link w:val="9"/>
    <w:uiPriority w:val="9"/>
    <w:semiHidden/>
    <w:rsid w:val="00170F12"/>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170F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170F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0F12"/>
    <w:pPr>
      <w:numPr>
        <w:ilvl w:val="1"/>
      </w:numPr>
    </w:pPr>
    <w:rPr>
      <w:rFonts w:asciiTheme="minorHAnsi" w:eastAsiaTheme="majorEastAsia" w:hAnsiTheme="minorHAnsi" w:cstheme="majorBidi"/>
      <w:color w:val="595959" w:themeColor="text1" w:themeTint="A6"/>
      <w:spacing w:val="15"/>
    </w:rPr>
  </w:style>
  <w:style w:type="character" w:customStyle="1" w:styleId="a6">
    <w:name w:val="زیر نویس نویسه"/>
    <w:basedOn w:val="a0"/>
    <w:link w:val="a5"/>
    <w:uiPriority w:val="11"/>
    <w:rsid w:val="00170F12"/>
    <w:rPr>
      <w:rFonts w:asciiTheme="minorHAnsi" w:eastAsiaTheme="majorEastAsia" w:hAnsiTheme="minorHAnsi" w:cstheme="majorBidi"/>
      <w:color w:val="595959" w:themeColor="text1" w:themeTint="A6"/>
      <w:spacing w:val="15"/>
    </w:rPr>
  </w:style>
  <w:style w:type="paragraph" w:styleId="a7">
    <w:name w:val="Quote"/>
    <w:basedOn w:val="a"/>
    <w:next w:val="a"/>
    <w:link w:val="a8"/>
    <w:uiPriority w:val="29"/>
    <w:qFormat/>
    <w:rsid w:val="00170F12"/>
    <w:pPr>
      <w:spacing w:before="160"/>
      <w:jc w:val="center"/>
    </w:pPr>
    <w:rPr>
      <w:i/>
      <w:iCs/>
      <w:color w:val="404040" w:themeColor="text1" w:themeTint="BF"/>
    </w:rPr>
  </w:style>
  <w:style w:type="character" w:customStyle="1" w:styleId="a8">
    <w:name w:val="نقل قول نویسه"/>
    <w:basedOn w:val="a0"/>
    <w:link w:val="a7"/>
    <w:uiPriority w:val="29"/>
    <w:rsid w:val="00170F12"/>
    <w:rPr>
      <w:i/>
      <w:iCs/>
      <w:color w:val="404040" w:themeColor="text1" w:themeTint="BF"/>
    </w:rPr>
  </w:style>
  <w:style w:type="paragraph" w:styleId="a9">
    <w:name w:val="List Paragraph"/>
    <w:basedOn w:val="a"/>
    <w:uiPriority w:val="34"/>
    <w:qFormat/>
    <w:rsid w:val="00170F12"/>
    <w:pPr>
      <w:ind w:left="720"/>
      <w:contextualSpacing/>
    </w:pPr>
  </w:style>
  <w:style w:type="character" w:styleId="aa">
    <w:name w:val="Intense Emphasis"/>
    <w:basedOn w:val="a0"/>
    <w:uiPriority w:val="21"/>
    <w:qFormat/>
    <w:rsid w:val="00170F12"/>
    <w:rPr>
      <w:i/>
      <w:iCs/>
      <w:color w:val="0F4761" w:themeColor="accent1" w:themeShade="BF"/>
    </w:rPr>
  </w:style>
  <w:style w:type="paragraph" w:styleId="ab">
    <w:name w:val="Intense Quote"/>
    <w:basedOn w:val="a"/>
    <w:next w:val="a"/>
    <w:link w:val="ac"/>
    <w:uiPriority w:val="30"/>
    <w:qFormat/>
    <w:rsid w:val="00170F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170F12"/>
    <w:rPr>
      <w:i/>
      <w:iCs/>
      <w:color w:val="0F4761" w:themeColor="accent1" w:themeShade="BF"/>
    </w:rPr>
  </w:style>
  <w:style w:type="character" w:styleId="ad">
    <w:name w:val="Intense Reference"/>
    <w:basedOn w:val="a0"/>
    <w:uiPriority w:val="32"/>
    <w:qFormat/>
    <w:rsid w:val="00170F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Pasandi</dc:creator>
  <cp:keywords/>
  <dc:description/>
  <cp:lastModifiedBy>حساب Microsoft</cp:lastModifiedBy>
  <cp:revision>2</cp:revision>
  <dcterms:created xsi:type="dcterms:W3CDTF">2026-10-14T14:18:00Z</dcterms:created>
  <dcterms:modified xsi:type="dcterms:W3CDTF">2026-10-14T14:18:00Z</dcterms:modified>
</cp:coreProperties>
</file>