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B0F76" w14:textId="77777777" w:rsidR="00FD159F" w:rsidRPr="00FD159F" w:rsidRDefault="00FD159F" w:rsidP="00FD159F">
      <w:pPr>
        <w:bidi/>
        <w:jc w:val="both"/>
        <w:rPr>
          <w:b/>
          <w:bCs/>
        </w:rPr>
      </w:pPr>
      <w:r w:rsidRPr="00FD159F">
        <w:rPr>
          <w:b/>
          <w:bCs/>
          <w:rtl/>
        </w:rPr>
        <w:t>گزارش نشست علمی</w:t>
      </w:r>
    </w:p>
    <w:p w14:paraId="201CD8CB" w14:textId="1FABB1B5" w:rsidR="00FD159F" w:rsidRPr="00FD159F" w:rsidRDefault="00FD159F" w:rsidP="00FD159F">
      <w:pPr>
        <w:bidi/>
      </w:pPr>
      <w:r w:rsidRPr="00FD159F">
        <w:rPr>
          <w:b/>
          <w:bCs/>
          <w:rtl/>
        </w:rPr>
        <w:t>عنوان نشست</w:t>
      </w:r>
      <w:r w:rsidRPr="00FD159F">
        <w:rPr>
          <w:b/>
          <w:bCs/>
        </w:rPr>
        <w:t>:</w:t>
      </w:r>
      <w:r w:rsidRPr="00FD159F">
        <w:t xml:space="preserve"> </w:t>
      </w:r>
      <w:r w:rsidRPr="00FD159F">
        <w:rPr>
          <w:rtl/>
        </w:rPr>
        <w:t xml:space="preserve">بررسی تطبیقی مبانی و مصادیق تکفیر در جریان‌های «أهل الحدیث» و «الوهابیة» </w:t>
      </w:r>
      <w:r w:rsidRPr="00FD159F">
        <w:br/>
      </w:r>
      <w:r w:rsidRPr="00FD159F">
        <w:rPr>
          <w:b/>
          <w:bCs/>
          <w:rtl/>
        </w:rPr>
        <w:t>برگزارکننده</w:t>
      </w:r>
      <w:r w:rsidRPr="00FD159F">
        <w:rPr>
          <w:b/>
          <w:bCs/>
        </w:rPr>
        <w:t>:</w:t>
      </w:r>
      <w:r w:rsidRPr="00FD159F">
        <w:t xml:space="preserve"> </w:t>
      </w:r>
      <w:r w:rsidRPr="00FD159F">
        <w:rPr>
          <w:rtl/>
        </w:rPr>
        <w:t>معاونت پژوهش مؤسسه آموزش عالی ائمه اطهار (علیهم السلام)</w:t>
      </w:r>
      <w:r w:rsidRPr="00FD159F">
        <w:br/>
      </w:r>
      <w:r w:rsidRPr="00FD159F">
        <w:rPr>
          <w:b/>
          <w:bCs/>
          <w:rtl/>
        </w:rPr>
        <w:t>زمان</w:t>
      </w:r>
      <w:r w:rsidRPr="00FD159F">
        <w:rPr>
          <w:b/>
          <w:bCs/>
        </w:rPr>
        <w:t>:</w:t>
      </w:r>
      <w:r w:rsidRPr="00FD159F">
        <w:t xml:space="preserve"> </w:t>
      </w:r>
      <w:r w:rsidRPr="00FD159F">
        <w:rPr>
          <w:rtl/>
        </w:rPr>
        <w:t xml:space="preserve">سه‌شنبه </w:t>
      </w:r>
      <w:r w:rsidRPr="00FD159F">
        <w:rPr>
          <w:rtl/>
          <w:lang w:bidi="fa-IR"/>
        </w:rPr>
        <w:t>۱۴</w:t>
      </w:r>
      <w:r w:rsidRPr="00FD159F">
        <w:rPr>
          <w:rtl/>
        </w:rPr>
        <w:t xml:space="preserve"> مهرماه </w:t>
      </w:r>
      <w:r w:rsidRPr="00FD159F">
        <w:rPr>
          <w:rtl/>
          <w:lang w:bidi="fa-IR"/>
        </w:rPr>
        <w:t>۱۴۰۵</w:t>
      </w:r>
      <w:r w:rsidRPr="00FD159F">
        <w:rPr>
          <w:rtl/>
        </w:rPr>
        <w:t xml:space="preserve">، ساعت </w:t>
      </w:r>
      <w:r w:rsidRPr="00FD159F">
        <w:rPr>
          <w:rtl/>
          <w:lang w:bidi="fa-IR"/>
        </w:rPr>
        <w:t>۱۶</w:t>
      </w:r>
      <w:r w:rsidRPr="00FD159F">
        <w:br/>
      </w:r>
      <w:r w:rsidRPr="00FD159F">
        <w:rPr>
          <w:b/>
          <w:bCs/>
          <w:rtl/>
        </w:rPr>
        <w:t>مکان</w:t>
      </w:r>
      <w:r w:rsidRPr="00FD159F">
        <w:rPr>
          <w:b/>
          <w:bCs/>
        </w:rPr>
        <w:t>:</w:t>
      </w:r>
      <w:r w:rsidRPr="00FD159F">
        <w:t xml:space="preserve"> </w:t>
      </w:r>
      <w:r w:rsidRPr="00FD159F">
        <w:rPr>
          <w:rtl/>
        </w:rPr>
        <w:t xml:space="preserve">مؤسسه آموزش عالی ائمه اطهار (ع)، مدرس </w:t>
      </w:r>
      <w:r w:rsidRPr="00FD159F">
        <w:rPr>
          <w:rtl/>
          <w:lang w:bidi="fa-IR"/>
        </w:rPr>
        <w:t>۴</w:t>
      </w:r>
      <w:r w:rsidRPr="00FD159F">
        <w:br/>
      </w:r>
      <w:r w:rsidRPr="00FD159F">
        <w:rPr>
          <w:b/>
          <w:bCs/>
          <w:rtl/>
        </w:rPr>
        <w:t>ارائه‌دهنده</w:t>
      </w:r>
      <w:r w:rsidRPr="00FD159F">
        <w:rPr>
          <w:b/>
          <w:bCs/>
        </w:rPr>
        <w:t>:</w:t>
      </w:r>
      <w:r w:rsidRPr="00FD159F">
        <w:t xml:space="preserve"> </w:t>
      </w:r>
      <w:r w:rsidRPr="00FD159F">
        <w:rPr>
          <w:rtl/>
        </w:rPr>
        <w:t xml:space="preserve">حجت الاسلام محمدجواد جعفری (دانش‌پژوه سطح </w:t>
      </w:r>
      <w:r w:rsidRPr="00FD159F">
        <w:rPr>
          <w:rtl/>
          <w:lang w:bidi="fa-IR"/>
        </w:rPr>
        <w:t>۴</w:t>
      </w:r>
      <w:r w:rsidRPr="00FD159F">
        <w:rPr>
          <w:rtl/>
        </w:rPr>
        <w:t xml:space="preserve"> کلام اسلامی)</w:t>
      </w:r>
      <w:r w:rsidRPr="00FD159F">
        <w:br/>
      </w:r>
      <w:r w:rsidRPr="00FD159F">
        <w:rPr>
          <w:b/>
          <w:bCs/>
          <w:rtl/>
        </w:rPr>
        <w:t>ناقد</w:t>
      </w:r>
      <w:r w:rsidRPr="00FD159F">
        <w:rPr>
          <w:b/>
          <w:bCs/>
        </w:rPr>
        <w:t>:</w:t>
      </w:r>
      <w:r w:rsidRPr="00FD159F">
        <w:t xml:space="preserve"> </w:t>
      </w:r>
      <w:r w:rsidRPr="00FD159F">
        <w:rPr>
          <w:rtl/>
        </w:rPr>
        <w:t xml:space="preserve">حجت الاسلام علی‌رضا جعفری (دانش‌پژوه سطح </w:t>
      </w:r>
      <w:r w:rsidRPr="00FD159F">
        <w:rPr>
          <w:rtl/>
          <w:lang w:bidi="fa-IR"/>
        </w:rPr>
        <w:t>۴</w:t>
      </w:r>
      <w:r w:rsidRPr="00FD159F">
        <w:rPr>
          <w:rtl/>
        </w:rPr>
        <w:t xml:space="preserve"> کلام اسلامی)</w:t>
      </w:r>
      <w:r w:rsidRPr="00FD159F">
        <w:br/>
      </w:r>
      <w:r w:rsidRPr="00FD159F">
        <w:rPr>
          <w:b/>
          <w:bCs/>
          <w:rtl/>
        </w:rPr>
        <w:t>دبیر علمی</w:t>
      </w:r>
      <w:r w:rsidRPr="00FD159F">
        <w:rPr>
          <w:b/>
          <w:bCs/>
        </w:rPr>
        <w:t>:</w:t>
      </w:r>
      <w:r w:rsidRPr="00FD159F">
        <w:t xml:space="preserve"> </w:t>
      </w:r>
      <w:r w:rsidRPr="00FD159F">
        <w:rPr>
          <w:rtl/>
        </w:rPr>
        <w:t xml:space="preserve">حجت الاسلام فرزاد فولادی ونه (دانش‌پژوه سطح </w:t>
      </w:r>
      <w:r>
        <w:rPr>
          <w:rFonts w:hint="cs"/>
          <w:rtl/>
          <w:lang w:bidi="fa-IR"/>
        </w:rPr>
        <w:t>3</w:t>
      </w:r>
      <w:r w:rsidRPr="00FD159F">
        <w:rPr>
          <w:rtl/>
        </w:rPr>
        <w:t xml:space="preserve"> کلام اسلامی)</w:t>
      </w:r>
    </w:p>
    <w:p w14:paraId="0DB59CB2" w14:textId="2E99464D" w:rsidR="00FD159F" w:rsidRPr="00FD159F" w:rsidRDefault="00FD159F" w:rsidP="00FD159F">
      <w:pPr>
        <w:bidi/>
        <w:jc w:val="both"/>
      </w:pPr>
    </w:p>
    <w:p w14:paraId="0B490DF1" w14:textId="77777777" w:rsidR="00FD159F" w:rsidRPr="00FD159F" w:rsidRDefault="00FD159F" w:rsidP="00FD159F">
      <w:pPr>
        <w:bidi/>
        <w:jc w:val="both"/>
        <w:rPr>
          <w:b/>
          <w:bCs/>
        </w:rPr>
      </w:pPr>
      <w:r w:rsidRPr="00FD159F">
        <w:rPr>
          <w:b/>
          <w:bCs/>
          <w:rtl/>
        </w:rPr>
        <w:t>مقدمه و سخنان دبیر جلسه</w:t>
      </w:r>
    </w:p>
    <w:p w14:paraId="0CA88FA6" w14:textId="77777777" w:rsidR="00FD159F" w:rsidRPr="00FD159F" w:rsidRDefault="00FD159F" w:rsidP="00FD159F">
      <w:pPr>
        <w:bidi/>
        <w:jc w:val="both"/>
      </w:pPr>
      <w:r w:rsidRPr="00FD159F">
        <w:rPr>
          <w:rtl/>
        </w:rPr>
        <w:t>نشست علمی با محوریت بررسی تطبیقی مبانی و مصادیق تکفیر در دو جریان فکری «أهل الحدیث» و «الوهابیة» آغاز شد. دبیر جلسه، جناب آقای فولادی ونه، ضمن خوش‌آمدگویی به حاضران، به تبیین جایگاه و اهمیت این موضوع در جهان اسلام پرداختند. ایشان در مقدمات خود، ضمن اشاره به جریان‌های وهابیت و اهل حدیث معاصر، به طور خاص به جریان «دیوبندیه» در شبه‌قاره هند و پاکستان اشاره کردند. دبیر جلسه گزارش مختصری از اندیشه‌های «شاه ولی الله دهلوی» و طیف کلاسیک دیوبند ارائه دادند تا فضای فکری و زمینه‌های تاریخی شکل‌گیری این جریان‌ها برای مخاطبان روشن شود. پس از آن، نوبت به ارائه مقاله توسط محقق محترم رسید</w:t>
      </w:r>
      <w:r w:rsidRPr="00FD159F">
        <w:t>.</w:t>
      </w:r>
    </w:p>
    <w:p w14:paraId="399B9684" w14:textId="12DB4C45" w:rsidR="00FD159F" w:rsidRPr="00FD159F" w:rsidRDefault="00FD159F" w:rsidP="00FD159F">
      <w:pPr>
        <w:bidi/>
        <w:jc w:val="both"/>
        <w:rPr>
          <w:b/>
          <w:bCs/>
        </w:rPr>
      </w:pPr>
      <w:r w:rsidRPr="00FD159F">
        <w:rPr>
          <w:b/>
          <w:bCs/>
          <w:rtl/>
        </w:rPr>
        <w:t>خلاصه ارائه مقاله</w:t>
      </w:r>
    </w:p>
    <w:p w14:paraId="20EA1D2C" w14:textId="77777777" w:rsidR="00FD159F" w:rsidRPr="00FD159F" w:rsidRDefault="00FD159F" w:rsidP="00FD159F">
      <w:pPr>
        <w:bidi/>
        <w:jc w:val="both"/>
      </w:pPr>
      <w:r w:rsidRPr="00FD159F">
        <w:rPr>
          <w:rtl/>
        </w:rPr>
        <w:t>حجت الاسلام محمدجواد جعفری در ارائه خود، به روش توصیفی-تحلیلی و با رویکردی مقایسه‌ای، به بررسی اشتراکات و افتراقات دو جریان «أهل الحدیث» و «الوهابیة» در مسئله حساس تکفیر پرداختند. ایشان بیان داشتند که این پژوهش با تمرکز بر تحلیل مبانی نظری تکفیر (اعتقادی و عملی) و سپس تطبیق آن بر مصادیق عملی همچون استغاثه، طواف، نذر، تبرک و زیارت قبور، نشان می‌دهد که هر دو جریان در اصلِ پذیرش تکفیر منکر ضروری دین و استناد به ظواهر نصوص، مشترک هستند. با این حال، در مکتب اهل حدیث، رویکردی محتاطانه حاکم است؛ به این معنا که نیت و اعتقاد قلبی امری پنهان تلقی می‌شود و تکفیر معین را تنها پس از اتمام حجت و رفع شبهه جایز می‌دانند. آنان میان کفر اصغر و اکبر تمایز قائل شده و بسیاری از مخالفت‌های عملی را در زمره معصیت قرار می‌دهند، نه خروج از اسلام</w:t>
      </w:r>
      <w:r w:rsidRPr="00FD159F">
        <w:t>.</w:t>
      </w:r>
    </w:p>
    <w:p w14:paraId="506DE4F2" w14:textId="77777777" w:rsidR="00FD159F" w:rsidRPr="00FD159F" w:rsidRDefault="00FD159F" w:rsidP="00FD159F">
      <w:pPr>
        <w:bidi/>
        <w:jc w:val="both"/>
      </w:pPr>
      <w:r w:rsidRPr="00FD159F">
        <w:rPr>
          <w:rtl/>
        </w:rPr>
        <w:t>در ادامه، ایشان به مبانی جریان وهابیت اشاره کرده و افزودند: ابن عبدالوهاب با ارائه تفسیری خاص و گسترده از «توحید عبادی»، هرگونه مشارکت غیرخدا در امور عبادی (حتی به صورت توسل و استغاثه) را «شرک اکبر» می‌داند. تفاوت کلیدی وهابیت با سلف پیشین در این است که آنان «نیت عبادت» را بسیار گسترده تفسیر کرده و بسیاری از اعمال اجتماعی و مذهبی رایج مسلمانان را مصداق عبادت برای غیرخدا می‌دانند. از نگاه وهابیان، در تکفیر معین نیازی به بررسی علم و فهم عامل یا وجود شبهه نیست، چرا که این اعمال را ذاتاً شرک می‌دانند. این رویکرد، عملاً قاعده احتیاطی اهل حدیث را کنار گذاشته و به تکفیر گسترده گروه‌های وسیعی از مسلمانان (از جمله صوفیه، اشاعره و شیعه) منجر شده است. نتیجه‌گیری مقاله این است که وهابیت اگرچه از خاستگاه فکری اهل حدیث برخاسته، اما با تأکید انحصاری بر یک قرائت خاص از توحید، رابطه «عموم و خصوص من وجه» با مبانی عام اهل حدیث پیدا کرده و در برخی موارد با آن در تضاد قرار می‌گیرد</w:t>
      </w:r>
      <w:r w:rsidRPr="00FD159F">
        <w:t>.</w:t>
      </w:r>
    </w:p>
    <w:p w14:paraId="22F4E817" w14:textId="77777777" w:rsidR="00FD159F" w:rsidRPr="00FD159F" w:rsidRDefault="00FD159F" w:rsidP="00FD159F">
      <w:pPr>
        <w:bidi/>
        <w:jc w:val="both"/>
        <w:rPr>
          <w:b/>
          <w:bCs/>
        </w:rPr>
      </w:pPr>
      <w:r w:rsidRPr="00FD159F">
        <w:rPr>
          <w:b/>
          <w:bCs/>
          <w:rtl/>
        </w:rPr>
        <w:t>نقد و بررسی (سخنان ناقد محترم)</w:t>
      </w:r>
    </w:p>
    <w:p w14:paraId="28787B78" w14:textId="77777777" w:rsidR="00FD159F" w:rsidRPr="00FD159F" w:rsidRDefault="00FD159F" w:rsidP="00FD159F">
      <w:pPr>
        <w:bidi/>
        <w:jc w:val="both"/>
      </w:pPr>
      <w:r w:rsidRPr="00FD159F">
        <w:rPr>
          <w:rtl/>
        </w:rPr>
        <w:t>پس از اتمام ارائه، جناب آقای علی‌رضا جعفری به عنوان ناقد، نکات ارزشمندی را درباره ساختار و محتوای مقاله مطرح کردند. محورهای اصلی نقد ایشان به شرح زیر بود</w:t>
      </w:r>
      <w:r w:rsidRPr="00FD159F">
        <w:t>:</w:t>
      </w:r>
    </w:p>
    <w:p w14:paraId="31257E84" w14:textId="77777777" w:rsidR="00FD159F" w:rsidRPr="00FD159F" w:rsidRDefault="00FD159F" w:rsidP="00FD159F">
      <w:pPr>
        <w:bidi/>
        <w:ind w:left="360"/>
        <w:jc w:val="both"/>
      </w:pPr>
      <w:r w:rsidRPr="00FD159F">
        <w:rPr>
          <w:b/>
          <w:bCs/>
          <w:rtl/>
        </w:rPr>
        <w:t>حجم و منابع</w:t>
      </w:r>
      <w:r w:rsidRPr="00FD159F">
        <w:rPr>
          <w:b/>
          <w:bCs/>
        </w:rPr>
        <w:t>:</w:t>
      </w:r>
      <w:r w:rsidRPr="00FD159F">
        <w:t xml:space="preserve"> </w:t>
      </w:r>
      <w:r w:rsidRPr="00FD159F">
        <w:rPr>
          <w:rtl/>
        </w:rPr>
        <w:t>تعداد کلمات و صفحات مقاله بسیار کم است و نشان‌دهنده این است که محقق در منابع علمی به اندازه کافی تتبع و جستجو نداشته است</w:t>
      </w:r>
      <w:r w:rsidRPr="00FD159F">
        <w:t>.</w:t>
      </w:r>
    </w:p>
    <w:p w14:paraId="06735237" w14:textId="0209A7D2" w:rsidR="00FD159F" w:rsidRDefault="00FD159F" w:rsidP="00FD159F">
      <w:pPr>
        <w:bidi/>
        <w:ind w:left="360"/>
        <w:jc w:val="both"/>
      </w:pPr>
      <w:r w:rsidRPr="00FD159F">
        <w:rPr>
          <w:b/>
          <w:bCs/>
          <w:rtl/>
        </w:rPr>
        <w:t>پیشینه پژوهش</w:t>
      </w:r>
      <w:r w:rsidRPr="00FD159F">
        <w:rPr>
          <w:b/>
          <w:bCs/>
        </w:rPr>
        <w:t>:</w:t>
      </w:r>
      <w:r w:rsidRPr="00FD159F">
        <w:t xml:space="preserve"> </w:t>
      </w:r>
      <w:r w:rsidRPr="00FD159F">
        <w:rPr>
          <w:rtl/>
        </w:rPr>
        <w:t>در مقدمه مقاله، جایگاه «پیشینه پژوهش» خالی است و به کارهای انجام‌شده قبلی اشاره نشده است</w:t>
      </w:r>
      <w:r w:rsidRPr="00FD159F">
        <w:t>.</w:t>
      </w:r>
    </w:p>
    <w:p w14:paraId="73E50ED3" w14:textId="77777777" w:rsidR="00FD159F" w:rsidRDefault="00FD159F" w:rsidP="00FD159F">
      <w:pPr>
        <w:bidi/>
        <w:ind w:left="360"/>
        <w:jc w:val="both"/>
        <w:rPr>
          <w:b/>
          <w:bCs/>
          <w:rtl/>
        </w:rPr>
      </w:pPr>
    </w:p>
    <w:p w14:paraId="3D0122EF" w14:textId="77777777" w:rsidR="00FD159F" w:rsidRPr="00FD159F" w:rsidRDefault="00FD159F" w:rsidP="00FD159F">
      <w:pPr>
        <w:bidi/>
        <w:ind w:left="360"/>
        <w:jc w:val="both"/>
        <w:rPr>
          <w:b/>
          <w:bCs/>
        </w:rPr>
      </w:pPr>
      <w:r w:rsidRPr="00FD159F">
        <w:rPr>
          <w:rFonts w:hint="cs"/>
          <w:b/>
          <w:bCs/>
          <w:rtl/>
        </w:rPr>
        <w:lastRenderedPageBreak/>
        <w:t>تکمله سخنان ناقد توسط دبیر محترم و نکاتی برای بهبود مقاله</w:t>
      </w:r>
    </w:p>
    <w:p w14:paraId="1BB2E453" w14:textId="77777777" w:rsidR="00FD159F" w:rsidRDefault="00FD159F" w:rsidP="00FD159F">
      <w:pPr>
        <w:bidi/>
        <w:jc w:val="both"/>
        <w:rPr>
          <w:b/>
          <w:bCs/>
          <w:rtl/>
        </w:rPr>
      </w:pPr>
    </w:p>
    <w:p w14:paraId="1125CDAB" w14:textId="124C7F0E" w:rsidR="00FD159F" w:rsidRPr="00FD159F" w:rsidRDefault="00FD159F" w:rsidP="00FD159F">
      <w:pPr>
        <w:bidi/>
        <w:ind w:left="360"/>
        <w:jc w:val="both"/>
      </w:pPr>
      <w:r w:rsidRPr="00FD159F">
        <w:rPr>
          <w:b/>
          <w:bCs/>
          <w:rtl/>
        </w:rPr>
        <w:t>کلی بودن عنوان</w:t>
      </w:r>
      <w:r w:rsidRPr="00FD159F">
        <w:rPr>
          <w:b/>
          <w:bCs/>
        </w:rPr>
        <w:t>:</w:t>
      </w:r>
      <w:r w:rsidRPr="00FD159F">
        <w:t xml:space="preserve"> </w:t>
      </w:r>
      <w:r w:rsidRPr="00FD159F">
        <w:rPr>
          <w:rtl/>
        </w:rPr>
        <w:t>عنوان مقاله بسیار کلی است؛ زیرا جریان‌های وهابیت و اهل حدیث دارای گروه‌ها و شاخه‌های متعددی هستند که در مجال یک مقاله نمی‌گنجد و باید دامنه آن مشخص‌تر شود</w:t>
      </w:r>
      <w:r w:rsidRPr="00FD159F">
        <w:t>.</w:t>
      </w:r>
    </w:p>
    <w:p w14:paraId="724FC9BF" w14:textId="77777777" w:rsidR="00FD159F" w:rsidRPr="00FD159F" w:rsidRDefault="00FD159F" w:rsidP="00FD159F">
      <w:pPr>
        <w:bidi/>
        <w:ind w:left="360"/>
        <w:jc w:val="both"/>
      </w:pPr>
      <w:r w:rsidRPr="00FD159F">
        <w:rPr>
          <w:b/>
          <w:bCs/>
          <w:rtl/>
        </w:rPr>
        <w:t>ساختار چکیده</w:t>
      </w:r>
      <w:r w:rsidRPr="00FD159F">
        <w:rPr>
          <w:b/>
          <w:bCs/>
        </w:rPr>
        <w:t>:</w:t>
      </w:r>
      <w:r w:rsidRPr="00FD159F">
        <w:t xml:space="preserve"> </w:t>
      </w:r>
      <w:r w:rsidRPr="00FD159F">
        <w:rPr>
          <w:rtl/>
        </w:rPr>
        <w:t>چکیده مقاله باید اصولی و استاندارد باشد؛ یعنی شامل بیان مسئله، سوال، روش و یافته‌ها باشد، در حالی که چکیده فعلی طبق اصول پژوهش‌های علمی نوشته نشده و نیاز به اصلاح جدی دارد</w:t>
      </w:r>
      <w:r w:rsidRPr="00FD159F">
        <w:t>.</w:t>
      </w:r>
    </w:p>
    <w:p w14:paraId="79FBA02A" w14:textId="77777777" w:rsidR="00FD159F" w:rsidRPr="00FD159F" w:rsidRDefault="00FD159F" w:rsidP="00FD159F">
      <w:pPr>
        <w:bidi/>
        <w:ind w:left="360"/>
        <w:jc w:val="both"/>
      </w:pPr>
      <w:r w:rsidRPr="00FD159F">
        <w:rPr>
          <w:b/>
          <w:bCs/>
          <w:rtl/>
        </w:rPr>
        <w:t>بیان مسئله و نوآوری</w:t>
      </w:r>
      <w:r w:rsidRPr="00FD159F">
        <w:rPr>
          <w:b/>
          <w:bCs/>
        </w:rPr>
        <w:t>:</w:t>
      </w:r>
      <w:r w:rsidRPr="00FD159F">
        <w:t xml:space="preserve"> </w:t>
      </w:r>
      <w:r w:rsidRPr="00FD159F">
        <w:rPr>
          <w:rtl/>
        </w:rPr>
        <w:t xml:space="preserve">در مقدمه باید بیان مسئله دقیق‌تر باشد. با توجه به پیشینه غنی این موضوع، لازم است حداقل به </w:t>
      </w:r>
      <w:r w:rsidRPr="00FD159F">
        <w:rPr>
          <w:rtl/>
          <w:lang w:bidi="fa-IR"/>
        </w:rPr>
        <w:t>۱۰</w:t>
      </w:r>
      <w:r w:rsidRPr="00FD159F">
        <w:rPr>
          <w:rtl/>
        </w:rPr>
        <w:t xml:space="preserve"> مورد از پژوهش‌های مرتبط اشاره شود و تفاوت و نوآوری این مقاله به صراحت بیان شود؛ در غیر این صورت، کار به تکرار و کارهای پیشین تبدیل خواهد شد</w:t>
      </w:r>
      <w:r w:rsidRPr="00FD159F">
        <w:t>.</w:t>
      </w:r>
    </w:p>
    <w:p w14:paraId="453C6E28" w14:textId="70EF98B5" w:rsidR="00FD159F" w:rsidRPr="00FD159F" w:rsidRDefault="00FD159F" w:rsidP="00FD159F">
      <w:pPr>
        <w:bidi/>
        <w:jc w:val="both"/>
        <w:rPr>
          <w:b/>
          <w:bCs/>
        </w:rPr>
      </w:pPr>
      <w:r w:rsidRPr="00FD159F">
        <w:rPr>
          <w:b/>
          <w:bCs/>
          <w:rtl/>
        </w:rPr>
        <w:t>جمع‌بندی</w:t>
      </w:r>
    </w:p>
    <w:p w14:paraId="3A5ADAF5" w14:textId="77777777" w:rsidR="00FD159F" w:rsidRPr="00FD159F" w:rsidRDefault="00FD159F" w:rsidP="00FD159F">
      <w:pPr>
        <w:bidi/>
        <w:jc w:val="both"/>
      </w:pPr>
      <w:r w:rsidRPr="00FD159F">
        <w:rPr>
          <w:rtl/>
        </w:rPr>
        <w:t>در ادامه، دبیر محترم جلسه، جناب آقای فولادی ونه، ضمن تأیید نکات ناقد محترم، تکمله‌ای بر مطالب ایشان اضافه کردند و بر لزوم دقت در روش‌مندی و بررسی عمیق‌تر منابع برای ارتقای سطح کیفی مقاله تأکید نمودند. در نهایت، جلسه با یک جمع‌بندی از سوی دبیر علمی به پایان رسید. نتیجه‌گیری کلی این بود که با وجود تلاش ارزشمند محقق در انتخاب موضوعی مهم و حساس، برای تبدیل این مقاله به یک اثر پژوهشی استاندارد، لازم است حجم مطالب افزایش یافته، منابع بیشتری بررسی شود و ساختار مقاله (به ویژه چکیده و پیشینه) بر اساس استانداردهای آکادمیک بازنویسی و اصلاح گردد</w:t>
      </w:r>
      <w:r w:rsidRPr="00FD159F">
        <w:t>.</w:t>
      </w:r>
    </w:p>
    <w:p w14:paraId="7A7A15A0" w14:textId="77777777" w:rsidR="006A73D5" w:rsidRDefault="006A73D5" w:rsidP="00FD159F">
      <w:pPr>
        <w:bidi/>
        <w:jc w:val="both"/>
      </w:pPr>
    </w:p>
    <w:sectPr w:rsidR="006A73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0AFC9" w14:textId="77777777" w:rsidR="00B954FF" w:rsidRDefault="00B954FF" w:rsidP="00FD159F">
      <w:pPr>
        <w:spacing w:after="0" w:line="240" w:lineRule="auto"/>
      </w:pPr>
      <w:r>
        <w:separator/>
      </w:r>
    </w:p>
  </w:endnote>
  <w:endnote w:type="continuationSeparator" w:id="0">
    <w:p w14:paraId="77967E94" w14:textId="77777777" w:rsidR="00B954FF" w:rsidRDefault="00B954FF" w:rsidP="00FD1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DBF6B" w14:textId="77777777" w:rsidR="00B954FF" w:rsidRDefault="00B954FF" w:rsidP="00FD159F">
      <w:pPr>
        <w:spacing w:after="0" w:line="240" w:lineRule="auto"/>
      </w:pPr>
      <w:r>
        <w:separator/>
      </w:r>
    </w:p>
  </w:footnote>
  <w:footnote w:type="continuationSeparator" w:id="0">
    <w:p w14:paraId="27B10CBE" w14:textId="77777777" w:rsidR="00B954FF" w:rsidRDefault="00B954FF" w:rsidP="00FD15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774E3"/>
    <w:multiLevelType w:val="multilevel"/>
    <w:tmpl w:val="F632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59F"/>
    <w:rsid w:val="006A73D5"/>
    <w:rsid w:val="00B954FF"/>
    <w:rsid w:val="00FD15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EA379"/>
  <w15:chartTrackingRefBased/>
  <w15:docId w15:val="{C18FCBAB-0531-4DC5-9E41-CDABF824D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59F"/>
  </w:style>
  <w:style w:type="paragraph" w:styleId="Footer">
    <w:name w:val="footer"/>
    <w:basedOn w:val="Normal"/>
    <w:link w:val="FooterChar"/>
    <w:uiPriority w:val="99"/>
    <w:unhideWhenUsed/>
    <w:rsid w:val="00FD1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4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647</Words>
  <Characters>3690</Characters>
  <Application>Microsoft Office Word</Application>
  <DocSecurity>0</DocSecurity>
  <Lines>30</Lines>
  <Paragraphs>8</Paragraphs>
  <ScaleCrop>false</ScaleCrop>
  <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2026-10-17T16:42:00Z</dcterms:created>
  <dcterms:modified xsi:type="dcterms:W3CDTF">2026-10-17T16:47:00Z</dcterms:modified>
</cp:coreProperties>
</file>